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с отчетного периода – </w:t>
      </w:r>
      <w:r w:rsidR="00C8569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декабрь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2022 года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C8569C">
        <w:rPr>
          <w:rFonts w:ascii="Times New Roman" w:eastAsia="Times New Roman" w:hAnsi="Times New Roman" w:cs="Times New Roman"/>
          <w:sz w:val="24"/>
          <w:szCs w:val="24"/>
          <w:lang w:eastAsia="ar-SA"/>
        </w:rPr>
        <w:t>29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56D5E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8569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2 (протокол № 1</w:t>
      </w:r>
      <w:r w:rsidR="00C8569C">
        <w:rPr>
          <w:rFonts w:ascii="Times New Roman" w:eastAsia="Times New Roman" w:hAnsi="Times New Roman" w:cs="Times New Roman"/>
          <w:sz w:val="24"/>
          <w:szCs w:val="24"/>
          <w:lang w:eastAsia="ar-SA"/>
        </w:rPr>
        <w:t>40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2022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27.01.2022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C8569C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оплате медицинской помощи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</w:t>
      </w:r>
      <w:r w:rsidR="00153C17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углубленной диспансеризации граждан, </w:t>
      </w:r>
      <w:r w:rsidR="00554569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554569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554569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(COVID-19), 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определяется доля </w:t>
      </w:r>
      <w:r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D12370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EE2285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63170F">
        <w:rPr>
          <w:rFonts w:ascii="Times New Roman" w:eastAsia="Times New Roman" w:hAnsi="Times New Roman" w:cs="Times New Roman"/>
          <w:sz w:val="28"/>
          <w:szCs w:val="28"/>
          <w:lang w:eastAsia="ru-RU"/>
        </w:rPr>
        <w:t>2596</w:t>
      </w:r>
      <w:bookmarkStart w:id="0" w:name="_GoBack"/>
      <w:bookmarkEnd w:id="0"/>
      <w:r w:rsidR="00764DE3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7A3731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D12370" w:rsidRDefault="00D94A9E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A8373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2022 года.</w:t>
      </w:r>
    </w:p>
    <w:p w:rsidR="00A83735" w:rsidRPr="00D12370" w:rsidRDefault="00A83735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полугодия.</w:t>
      </w:r>
    </w:p>
    <w:p w:rsidR="005122FF" w:rsidRPr="00D12370" w:rsidRDefault="006F0073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122FF" w:rsidRPr="00D12370">
        <w:t xml:space="preserve"> 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по итогам второго полугодия (года) 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- 25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- 10 баллов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63170F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63170F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63170F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63170F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квартал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63170F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D12370" w:rsidRDefault="0063170F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63170F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63170F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63170F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63170F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</w:t>
      </w:r>
      <w:proofErr w:type="gramStart"/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набранных</w:t>
      </w:r>
      <w:proofErr w:type="gram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63170F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63170F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- 0,9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- 0,4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6"/>
        <w:gridCol w:w="4647"/>
        <w:gridCol w:w="2067"/>
        <w:gridCol w:w="1768"/>
        <w:gridCol w:w="1681"/>
        <w:gridCol w:w="2604"/>
        <w:gridCol w:w="1332"/>
      </w:tblGrid>
      <w:tr w:rsidR="00CC3F8B" w:rsidRPr="00D12370" w:rsidTr="00456D5E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456D5E">
        <w:trPr>
          <w:trHeight w:val="405"/>
        </w:trPr>
        <w:tc>
          <w:tcPr>
            <w:tcW w:w="4525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CC3F8B" w:rsidRPr="00D12370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456D5E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456D5E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 xml:space="preserve">Прирост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z w:val="24"/>
              </w:rPr>
              <w:t xml:space="preserve"> % -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456D5E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456D5E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10 %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7 % - 2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- 1 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CC3F8B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D12370" w:rsidTr="00456D5E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Увеличение</w:t>
            </w:r>
          </w:p>
          <w:p w:rsidR="00690BA6" w:rsidRPr="00D12370" w:rsidRDefault="00690BA6" w:rsidP="00690BA6">
            <w:pPr>
              <w:pStyle w:val="TableParagraph"/>
              <w:ind w:left="361" w:right="355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смертности – 0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Без динамики или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690BA6" w:rsidRPr="00D12370" w:rsidRDefault="00690BA6" w:rsidP="00690BA6">
            <w:pPr>
              <w:pStyle w:val="TableParagraph"/>
              <w:ind w:left="65" w:right="3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proofErr w:type="gramEnd"/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– 0,5 баллов;</w:t>
            </w:r>
          </w:p>
          <w:p w:rsidR="00690BA6" w:rsidRPr="00D12370" w:rsidRDefault="00690BA6" w:rsidP="00690BA6">
            <w:pPr>
              <w:pStyle w:val="TableParagraph"/>
              <w:ind w:left="8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</w:p>
          <w:p w:rsidR="00690BA6" w:rsidRPr="00D12370" w:rsidRDefault="00690BA6" w:rsidP="00690BA6">
            <w:pPr>
              <w:pStyle w:val="TableParagraph"/>
              <w:ind w:left="85" w:right="81" w:firstLine="3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от 2 до 5% - 1 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от 5 до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10% - 2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690BA6" w:rsidRPr="00D12370" w:rsidRDefault="00690BA6" w:rsidP="00690BA6">
            <w:pPr>
              <w:pStyle w:val="TableParagraph"/>
              <w:spacing w:before="1"/>
              <w:ind w:left="111" w:right="103" w:hanging="3"/>
              <w:jc w:val="center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≥ 10 % - 3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баллов;</w:t>
            </w:r>
          </w:p>
          <w:p w:rsidR="00CC3F8B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3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</w:tr>
      <w:tr w:rsidR="00CC3F8B" w:rsidRPr="00D12370" w:rsidTr="00456D5E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F3" w:rsidRPr="00D12370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3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3 % - 1,5 балла;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Уменьшение  ≥ 7 % - 3 балла</w:t>
            </w:r>
          </w:p>
          <w:p w:rsidR="00690BA6" w:rsidRPr="00D12370" w:rsidRDefault="00690BA6" w:rsidP="00690BA6">
            <w:pPr>
              <w:pStyle w:val="TableParagraph"/>
              <w:ind w:left="111" w:right="103" w:hanging="3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3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D12370" w:rsidTr="00456D5E">
        <w:trPr>
          <w:trHeight w:val="688"/>
        </w:trPr>
        <w:tc>
          <w:tcPr>
            <w:tcW w:w="45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C3F8B" w:rsidRPr="00D12370" w:rsidTr="00CC3F8B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456D5E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CC3F8B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D12370" w:rsidTr="00A40D6B">
        <w:trPr>
          <w:trHeight w:val="543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Увеличение</w:t>
            </w:r>
          </w:p>
          <w:p w:rsidR="00690BA6" w:rsidRPr="00D12370" w:rsidRDefault="00690BA6" w:rsidP="00690BA6">
            <w:pPr>
              <w:pStyle w:val="TableParagraph"/>
              <w:ind w:left="361" w:right="355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смертности – 0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65" w:right="58" w:firstLine="5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Без динамики или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до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2%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–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от 2 до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5% - 1 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от 5 до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10% - 2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690BA6" w:rsidRPr="00D12370" w:rsidRDefault="00690BA6" w:rsidP="00690BA6">
            <w:pPr>
              <w:pStyle w:val="TableParagraph"/>
              <w:ind w:left="111" w:right="103" w:hanging="3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- 3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3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D12370" w:rsidTr="00456D5E">
        <w:trPr>
          <w:trHeight w:val="624"/>
        </w:trPr>
        <w:tc>
          <w:tcPr>
            <w:tcW w:w="45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Блок 3. Оказание акушерско-гинекологической помощи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CC3F8B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456D5E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Прирост показателя  за период по отношению к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456D5E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D94A9E" w:rsidRPr="005A0F55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6765" w:rsidRPr="005A0F55" w:rsidRDefault="00CC6765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764DE3" w:rsidRPr="007E67F8" w:rsidRDefault="00764DE3" w:rsidP="00CC6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4DE3" w:rsidRPr="007E67F8" w:rsidSect="00CC6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91B61"/>
    <w:rsid w:val="000A0728"/>
    <w:rsid w:val="00144386"/>
    <w:rsid w:val="00153C17"/>
    <w:rsid w:val="00191464"/>
    <w:rsid w:val="00193917"/>
    <w:rsid w:val="00193DF1"/>
    <w:rsid w:val="001D3E7C"/>
    <w:rsid w:val="001F55A2"/>
    <w:rsid w:val="00216A5D"/>
    <w:rsid w:val="00244CB5"/>
    <w:rsid w:val="002745F1"/>
    <w:rsid w:val="00297454"/>
    <w:rsid w:val="002F267E"/>
    <w:rsid w:val="003219A0"/>
    <w:rsid w:val="003572DC"/>
    <w:rsid w:val="003C6580"/>
    <w:rsid w:val="003F030B"/>
    <w:rsid w:val="003F193E"/>
    <w:rsid w:val="004117CE"/>
    <w:rsid w:val="00450268"/>
    <w:rsid w:val="00456D5E"/>
    <w:rsid w:val="0046050A"/>
    <w:rsid w:val="005122FF"/>
    <w:rsid w:val="005370C8"/>
    <w:rsid w:val="0055313B"/>
    <w:rsid w:val="00554569"/>
    <w:rsid w:val="005A0A8F"/>
    <w:rsid w:val="005A0F55"/>
    <w:rsid w:val="005A1787"/>
    <w:rsid w:val="0063170F"/>
    <w:rsid w:val="0065555B"/>
    <w:rsid w:val="00656843"/>
    <w:rsid w:val="00690BA6"/>
    <w:rsid w:val="006947E2"/>
    <w:rsid w:val="006F0073"/>
    <w:rsid w:val="00714437"/>
    <w:rsid w:val="00721352"/>
    <w:rsid w:val="00735215"/>
    <w:rsid w:val="00751B0B"/>
    <w:rsid w:val="00764DE3"/>
    <w:rsid w:val="007A040A"/>
    <w:rsid w:val="007A3731"/>
    <w:rsid w:val="007D464C"/>
    <w:rsid w:val="007E67F8"/>
    <w:rsid w:val="008026EB"/>
    <w:rsid w:val="00830EF3"/>
    <w:rsid w:val="00862B63"/>
    <w:rsid w:val="008677C2"/>
    <w:rsid w:val="008B2F75"/>
    <w:rsid w:val="00921995"/>
    <w:rsid w:val="00930F1E"/>
    <w:rsid w:val="00975F6A"/>
    <w:rsid w:val="0098633C"/>
    <w:rsid w:val="00993CBA"/>
    <w:rsid w:val="00A40D6B"/>
    <w:rsid w:val="00A53261"/>
    <w:rsid w:val="00A62C48"/>
    <w:rsid w:val="00A83735"/>
    <w:rsid w:val="00A93071"/>
    <w:rsid w:val="00B24CC3"/>
    <w:rsid w:val="00B32803"/>
    <w:rsid w:val="00BA7413"/>
    <w:rsid w:val="00BC415A"/>
    <w:rsid w:val="00C01263"/>
    <w:rsid w:val="00C04D56"/>
    <w:rsid w:val="00C8569C"/>
    <w:rsid w:val="00CC3F8B"/>
    <w:rsid w:val="00CC6765"/>
    <w:rsid w:val="00CE195C"/>
    <w:rsid w:val="00D12370"/>
    <w:rsid w:val="00D302A9"/>
    <w:rsid w:val="00D53921"/>
    <w:rsid w:val="00D94A9E"/>
    <w:rsid w:val="00DB3656"/>
    <w:rsid w:val="00E04A2A"/>
    <w:rsid w:val="00E25836"/>
    <w:rsid w:val="00E41EF9"/>
    <w:rsid w:val="00E91957"/>
    <w:rsid w:val="00E934E0"/>
    <w:rsid w:val="00EB1B10"/>
    <w:rsid w:val="00EE2285"/>
    <w:rsid w:val="00F166AA"/>
    <w:rsid w:val="00F34017"/>
    <w:rsid w:val="00F7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BF892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15</Pages>
  <Words>3367</Words>
  <Characters>19194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52</cp:revision>
  <dcterms:created xsi:type="dcterms:W3CDTF">2020-12-07T11:42:00Z</dcterms:created>
  <dcterms:modified xsi:type="dcterms:W3CDTF">2023-02-14T12:19:00Z</dcterms:modified>
</cp:coreProperties>
</file>